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328" w14:textId="63D186A8" w:rsidR="00CC7810" w:rsidRDefault="00380FDC">
      <w:pPr>
        <w:rPr>
          <w:rFonts w:ascii="Arial" w:hAnsi="Arial" w:cs="Arial"/>
          <w:sz w:val="24"/>
          <w:szCs w:val="24"/>
        </w:rPr>
      </w:pPr>
      <w:r w:rsidRPr="00380FDC">
        <w:rPr>
          <w:rFonts w:ascii="Arial" w:hAnsi="Arial" w:cs="Arial"/>
          <w:sz w:val="24"/>
          <w:szCs w:val="24"/>
        </w:rPr>
        <w:t>Séa</w:t>
      </w:r>
      <w:r>
        <w:rPr>
          <w:rFonts w:ascii="Arial" w:hAnsi="Arial" w:cs="Arial"/>
          <w:sz w:val="24"/>
          <w:szCs w:val="24"/>
        </w:rPr>
        <w:t xml:space="preserve">nces de kinésithérapie : rééducation du </w:t>
      </w:r>
      <w:proofErr w:type="gramStart"/>
      <w:r>
        <w:rPr>
          <w:rFonts w:ascii="Arial" w:hAnsi="Arial" w:cs="Arial"/>
          <w:sz w:val="24"/>
          <w:szCs w:val="24"/>
        </w:rPr>
        <w:t>membre  inférieur</w:t>
      </w:r>
      <w:proofErr w:type="gramEnd"/>
      <w:r>
        <w:rPr>
          <w:rFonts w:ascii="Arial" w:hAnsi="Arial" w:cs="Arial"/>
          <w:sz w:val="24"/>
          <w:szCs w:val="24"/>
        </w:rPr>
        <w:t xml:space="preserve"> pour syndrome du piriforme :</w:t>
      </w:r>
    </w:p>
    <w:p w14:paraId="7827CB6C" w14:textId="29B3D9C2" w:rsidR="00380FDC" w:rsidRDefault="00380FDC">
      <w:pPr>
        <w:rPr>
          <w:rFonts w:ascii="Arial" w:hAnsi="Arial" w:cs="Arial"/>
          <w:sz w:val="24"/>
          <w:szCs w:val="24"/>
        </w:rPr>
      </w:pPr>
    </w:p>
    <w:p w14:paraId="73B5B420" w14:textId="4F9868C2" w:rsidR="00380FDC" w:rsidRDefault="00380FDC" w:rsidP="00380F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</w:t>
      </w:r>
    </w:p>
    <w:p w14:paraId="24F7AFF9" w14:textId="1A1B6188" w:rsidR="00380FDC" w:rsidRDefault="00380FDC" w:rsidP="00380F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 décontracturant, ponçage du piriforme</w:t>
      </w:r>
    </w:p>
    <w:p w14:paraId="27794D77" w14:textId="15A41D65" w:rsidR="00380FDC" w:rsidRDefault="00380FDC" w:rsidP="00380F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Etirements (</w:t>
      </w:r>
      <w:proofErr w:type="spellStart"/>
      <w:r>
        <w:rPr>
          <w:rFonts w:ascii="Arial" w:hAnsi="Arial" w:cs="Arial"/>
          <w:sz w:val="24"/>
          <w:szCs w:val="24"/>
        </w:rPr>
        <w:t>myotensif</w:t>
      </w:r>
      <w:proofErr w:type="spellEnd"/>
      <w:r>
        <w:rPr>
          <w:rFonts w:ascii="Arial" w:hAnsi="Arial" w:cs="Arial"/>
          <w:sz w:val="24"/>
          <w:szCs w:val="24"/>
        </w:rPr>
        <w:t>) et postures : pelvi-trochantériens surtout</w:t>
      </w:r>
    </w:p>
    <w:p w14:paraId="54086037" w14:textId="154E4EFE" w:rsidR="00380FDC" w:rsidRDefault="00380FDC" w:rsidP="00380F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 / récupération de mobilité</w:t>
      </w:r>
    </w:p>
    <w:p w14:paraId="2F7385B3" w14:textId="62CD7DC0" w:rsidR="00380FDC" w:rsidRDefault="00380FDC" w:rsidP="00380FD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des muscles fessiers</w:t>
      </w:r>
    </w:p>
    <w:p w14:paraId="030C69E5" w14:textId="5C41264E" w:rsidR="00380FDC" w:rsidRPr="00380FDC" w:rsidRDefault="00380FDC" w:rsidP="00380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DF3206">
        <w:rPr>
          <w:rFonts w:ascii="Arial" w:hAnsi="Arial" w:cs="Arial"/>
          <w:sz w:val="24"/>
          <w:szCs w:val="24"/>
        </w:rPr>
        <w:t>Apprentissage d’auto-exercices et étirements</w:t>
      </w:r>
      <w:bookmarkStart w:id="0" w:name="_GoBack"/>
      <w:bookmarkEnd w:id="0"/>
    </w:p>
    <w:sectPr w:rsidR="00380FDC" w:rsidRPr="0038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CEF"/>
    <w:multiLevelType w:val="hybridMultilevel"/>
    <w:tmpl w:val="287A56F4"/>
    <w:lvl w:ilvl="0" w:tplc="74F8C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10"/>
    <w:rsid w:val="00380FDC"/>
    <w:rsid w:val="00CC7810"/>
    <w:rsid w:val="00D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270F"/>
  <w15:chartTrackingRefBased/>
  <w15:docId w15:val="{97E25BD0-CC35-4F91-ACE0-8FE5647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2021-02-05T14:05:00Z</dcterms:created>
  <dcterms:modified xsi:type="dcterms:W3CDTF">2021-02-05T14:11:00Z</dcterms:modified>
</cp:coreProperties>
</file>