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1151" w14:textId="24A8D9A4" w:rsidR="003E4BF7" w:rsidRPr="001D7BB3" w:rsidRDefault="001D7BB3">
      <w:pPr>
        <w:rPr>
          <w:rFonts w:ascii="Arial" w:hAnsi="Arial" w:cs="Arial"/>
          <w:sz w:val="24"/>
          <w:szCs w:val="24"/>
        </w:rPr>
      </w:pPr>
      <w:r w:rsidRPr="001D7BB3">
        <w:rPr>
          <w:rFonts w:ascii="Arial" w:hAnsi="Arial" w:cs="Arial"/>
          <w:sz w:val="24"/>
          <w:szCs w:val="24"/>
        </w:rPr>
        <w:t>Séances de kinésithérapie : rééducation du rachis lombo-sacré pour lombalgie commune chronique :</w:t>
      </w:r>
    </w:p>
    <w:p w14:paraId="7CB23873" w14:textId="5C2C85BE" w:rsidR="001D7BB3" w:rsidRPr="001D7BB3" w:rsidRDefault="001D7BB3">
      <w:pPr>
        <w:rPr>
          <w:rFonts w:ascii="Arial" w:hAnsi="Arial" w:cs="Arial"/>
          <w:sz w:val="24"/>
          <w:szCs w:val="24"/>
        </w:rPr>
      </w:pPr>
    </w:p>
    <w:p w14:paraId="38AD0FD5" w14:textId="0EAE266A" w:rsidR="001D7BB3" w:rsidRDefault="001D7BB3" w:rsidP="001D7B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Physiothérapie et massage, à visée antalgique</w:t>
      </w:r>
    </w:p>
    <w:p w14:paraId="3313AE81" w14:textId="6BB277DB" w:rsidR="001D7BB3" w:rsidRPr="001D7BB3" w:rsidRDefault="001D7BB3" w:rsidP="001D7B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7BB3">
        <w:rPr>
          <w:rFonts w:ascii="Arial" w:hAnsi="Arial" w:cs="Arial"/>
          <w:sz w:val="24"/>
          <w:szCs w:val="24"/>
        </w:rPr>
        <w:t>Entretien articulaire, mobilisations et postures</w:t>
      </w:r>
    </w:p>
    <w:p w14:paraId="354AA280" w14:textId="31B6BAD3" w:rsidR="001D7BB3" w:rsidRDefault="001D7BB3" w:rsidP="001D7B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7BB3">
        <w:rPr>
          <w:rFonts w:ascii="Arial" w:hAnsi="Arial" w:cs="Arial"/>
          <w:sz w:val="24"/>
          <w:szCs w:val="24"/>
        </w:rPr>
        <w:t>Etirements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des segments lombaire</w:t>
      </w:r>
      <w:proofErr w:type="gramEnd"/>
      <w:r>
        <w:rPr>
          <w:rFonts w:ascii="Arial" w:hAnsi="Arial" w:cs="Arial"/>
          <w:sz w:val="24"/>
          <w:szCs w:val="24"/>
        </w:rPr>
        <w:t>, pelvi-fémoral, sous pelvien</w:t>
      </w:r>
    </w:p>
    <w:p w14:paraId="4A2A022D" w14:textId="70BD99AD" w:rsidR="001D7BB3" w:rsidRDefault="001D7BB3" w:rsidP="001D7B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Renforcement musculaire : extenseurs du rachis, abdominaux, pelvi-fémoraux</w:t>
      </w:r>
    </w:p>
    <w:p w14:paraId="34BD73BD" w14:textId="68F8B307" w:rsidR="001D7BB3" w:rsidRDefault="001D7BB3" w:rsidP="001D7B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posturale</w:t>
      </w:r>
    </w:p>
    <w:p w14:paraId="27F8F33A" w14:textId="43E2B7D0" w:rsidR="001D7BB3" w:rsidRDefault="001D7BB3" w:rsidP="001D7B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 de la proprioception</w:t>
      </w:r>
    </w:p>
    <w:p w14:paraId="464E5624" w14:textId="4A047717" w:rsidR="001D7BB3" w:rsidRDefault="001D7BB3" w:rsidP="001D7B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Reconditionnement à l’effort</w:t>
      </w:r>
    </w:p>
    <w:p w14:paraId="28598B3E" w14:textId="063659A5" w:rsidR="001D7BB3" w:rsidRPr="001D7BB3" w:rsidRDefault="001D7BB3" w:rsidP="001D7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Apprentissage d’auto-exerci</w:t>
      </w:r>
      <w:r w:rsidR="001F0B44">
        <w:rPr>
          <w:rFonts w:ascii="Arial" w:hAnsi="Arial" w:cs="Arial"/>
          <w:sz w:val="24"/>
          <w:szCs w:val="24"/>
        </w:rPr>
        <w:t>ces , étirements et postures.</w:t>
      </w:r>
      <w:bookmarkStart w:id="0" w:name="_GoBack"/>
      <w:bookmarkEnd w:id="0"/>
    </w:p>
    <w:sectPr w:rsidR="001D7BB3" w:rsidRPr="001D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8CF"/>
    <w:multiLevelType w:val="hybridMultilevel"/>
    <w:tmpl w:val="82B6E8DC"/>
    <w:lvl w:ilvl="0" w:tplc="C29EA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F7"/>
    <w:rsid w:val="001D7BB3"/>
    <w:rsid w:val="001F0B44"/>
    <w:rsid w:val="003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69C1"/>
  <w15:chartTrackingRefBased/>
  <w15:docId w15:val="{CE551A50-7F40-49FA-A2C0-BD10F1D1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2021-02-05T11:55:00Z</dcterms:created>
  <dcterms:modified xsi:type="dcterms:W3CDTF">2021-02-05T12:03:00Z</dcterms:modified>
</cp:coreProperties>
</file>